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0E6AD09D"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EF64F1">
          <w:rPr>
            <w:noProof/>
            <w:webHidden/>
          </w:rPr>
          <w:t>4</w:t>
        </w:r>
        <w:r w:rsidR="00DD3144">
          <w:rPr>
            <w:noProof/>
            <w:webHidden/>
          </w:rPr>
          <w:fldChar w:fldCharType="end"/>
        </w:r>
      </w:hyperlink>
    </w:p>
    <w:p w14:paraId="649DCDC2" w14:textId="198200DB"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EF64F1">
          <w:rPr>
            <w:noProof/>
            <w:webHidden/>
          </w:rPr>
          <w:t>9</w:t>
        </w:r>
        <w:r>
          <w:rPr>
            <w:noProof/>
            <w:webHidden/>
          </w:rPr>
          <w:fldChar w:fldCharType="end"/>
        </w:r>
      </w:hyperlink>
    </w:p>
    <w:p w14:paraId="14EB7B59" w14:textId="41BD0A06"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EF64F1">
          <w:rPr>
            <w:noProof/>
            <w:webHidden/>
          </w:rPr>
          <w:t>9</w:t>
        </w:r>
        <w:r>
          <w:rPr>
            <w:noProof/>
            <w:webHidden/>
          </w:rPr>
          <w:fldChar w:fldCharType="end"/>
        </w:r>
      </w:hyperlink>
    </w:p>
    <w:p w14:paraId="28E7C014" w14:textId="1A9DCB0C"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EF64F1">
          <w:rPr>
            <w:noProof/>
            <w:webHidden/>
          </w:rPr>
          <w:t>14</w:t>
        </w:r>
        <w:r>
          <w:rPr>
            <w:noProof/>
            <w:webHidden/>
          </w:rPr>
          <w:fldChar w:fldCharType="end"/>
        </w:r>
      </w:hyperlink>
    </w:p>
    <w:p w14:paraId="5DC08253" w14:textId="71339C38"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EF64F1">
          <w:rPr>
            <w:noProof/>
            <w:webHidden/>
          </w:rPr>
          <w:t>26</w:t>
        </w:r>
        <w:r>
          <w:rPr>
            <w:noProof/>
            <w:webHidden/>
          </w:rPr>
          <w:fldChar w:fldCharType="end"/>
        </w:r>
      </w:hyperlink>
    </w:p>
    <w:p w14:paraId="3D5499CC" w14:textId="7E9E9A89"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EF64F1">
          <w:rPr>
            <w:noProof/>
            <w:webHidden/>
          </w:rPr>
          <w:t>28</w:t>
        </w:r>
        <w:r>
          <w:rPr>
            <w:noProof/>
            <w:webHidden/>
          </w:rPr>
          <w:fldChar w:fldCharType="end"/>
        </w:r>
      </w:hyperlink>
    </w:p>
    <w:p w14:paraId="719CF34F" w14:textId="557B5B9E"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EF64F1">
          <w:rPr>
            <w:noProof/>
            <w:webHidden/>
          </w:rPr>
          <w:t>28</w:t>
        </w:r>
        <w:r>
          <w:rPr>
            <w:noProof/>
            <w:webHidden/>
          </w:rPr>
          <w:fldChar w:fldCharType="end"/>
        </w:r>
      </w:hyperlink>
    </w:p>
    <w:p w14:paraId="2D2F137D" w14:textId="7B84F044"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EF64F1">
          <w:rPr>
            <w:noProof/>
            <w:webHidden/>
          </w:rPr>
          <w:t>33</w:t>
        </w:r>
        <w:r>
          <w:rPr>
            <w:noProof/>
            <w:webHidden/>
          </w:rPr>
          <w:fldChar w:fldCharType="end"/>
        </w:r>
      </w:hyperlink>
    </w:p>
    <w:p w14:paraId="020B6A92" w14:textId="1121DA80"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EF64F1">
          <w:rPr>
            <w:noProof/>
            <w:webHidden/>
          </w:rPr>
          <w:t>33</w:t>
        </w:r>
        <w:r>
          <w:rPr>
            <w:noProof/>
            <w:webHidden/>
          </w:rPr>
          <w:fldChar w:fldCharType="end"/>
        </w:r>
      </w:hyperlink>
    </w:p>
    <w:p w14:paraId="0B041372" w14:textId="4B5C70D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EF64F1">
          <w:rPr>
            <w:noProof/>
            <w:webHidden/>
          </w:rPr>
          <w:t>35</w:t>
        </w:r>
        <w:r>
          <w:rPr>
            <w:noProof/>
            <w:webHidden/>
          </w:rPr>
          <w:fldChar w:fldCharType="end"/>
        </w:r>
      </w:hyperlink>
    </w:p>
    <w:p w14:paraId="366ABCEE" w14:textId="28652F8A"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EF64F1">
          <w:rPr>
            <w:noProof/>
            <w:webHidden/>
          </w:rPr>
          <w:t>37</w:t>
        </w:r>
        <w:r>
          <w:rPr>
            <w:noProof/>
            <w:webHidden/>
          </w:rPr>
          <w:fldChar w:fldCharType="end"/>
        </w:r>
      </w:hyperlink>
    </w:p>
    <w:p w14:paraId="37DECFFE" w14:textId="6BD9FC4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EF64F1">
          <w:rPr>
            <w:noProof/>
            <w:webHidden/>
          </w:rPr>
          <w:t>40</w:t>
        </w:r>
        <w:r>
          <w:rPr>
            <w:noProof/>
            <w:webHidden/>
          </w:rPr>
          <w:fldChar w:fldCharType="end"/>
        </w:r>
      </w:hyperlink>
    </w:p>
    <w:p w14:paraId="79DE1026" w14:textId="0F070DD8"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EF64F1">
          <w:rPr>
            <w:noProof/>
            <w:webHidden/>
          </w:rPr>
          <w:t>42</w:t>
        </w:r>
        <w:r>
          <w:rPr>
            <w:noProof/>
            <w:webHidden/>
          </w:rPr>
          <w:fldChar w:fldCharType="end"/>
        </w:r>
      </w:hyperlink>
    </w:p>
    <w:p w14:paraId="571E6994" w14:textId="5DF3A633"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EF64F1">
          <w:rPr>
            <w:noProof/>
            <w:webHidden/>
          </w:rPr>
          <w:t>42</w:t>
        </w:r>
        <w:r>
          <w:rPr>
            <w:noProof/>
            <w:webHidden/>
          </w:rPr>
          <w:fldChar w:fldCharType="end"/>
        </w:r>
      </w:hyperlink>
    </w:p>
    <w:p w14:paraId="44C542A2" w14:textId="7CD6DB69"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EF64F1">
          <w:rPr>
            <w:noProof/>
            <w:webHidden/>
          </w:rPr>
          <w:t>47</w:t>
        </w:r>
        <w:r>
          <w:rPr>
            <w:noProof/>
            <w:webHidden/>
          </w:rPr>
          <w:fldChar w:fldCharType="end"/>
        </w:r>
      </w:hyperlink>
    </w:p>
    <w:p w14:paraId="5E9A21F5" w14:textId="41DC06C4"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EF64F1">
          <w:rPr>
            <w:noProof/>
            <w:webHidden/>
          </w:rPr>
          <w:t>50</w:t>
        </w:r>
        <w:r>
          <w:rPr>
            <w:noProof/>
            <w:webHidden/>
          </w:rPr>
          <w:fldChar w:fldCharType="end"/>
        </w:r>
      </w:hyperlink>
    </w:p>
    <w:p w14:paraId="5A159D6D" w14:textId="5E3500B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EF64F1">
          <w:rPr>
            <w:noProof/>
            <w:webHidden/>
          </w:rPr>
          <w:t>51</w:t>
        </w:r>
        <w:r>
          <w:rPr>
            <w:noProof/>
            <w:webHidden/>
          </w:rPr>
          <w:fldChar w:fldCharType="end"/>
        </w:r>
      </w:hyperlink>
    </w:p>
    <w:p w14:paraId="0A454E3F" w14:textId="1F2589DC"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EF64F1">
          <w:rPr>
            <w:noProof/>
            <w:webHidden/>
          </w:rPr>
          <w:t>52</w:t>
        </w:r>
        <w:r>
          <w:rPr>
            <w:noProof/>
            <w:webHidden/>
          </w:rPr>
          <w:fldChar w:fldCharType="end"/>
        </w:r>
      </w:hyperlink>
    </w:p>
    <w:p w14:paraId="1FD76CBA" w14:textId="252B59C9"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EF64F1">
          <w:rPr>
            <w:noProof/>
            <w:webHidden/>
          </w:rPr>
          <w:t>52</w:t>
        </w:r>
        <w:r>
          <w:rPr>
            <w:noProof/>
            <w:webHidden/>
          </w:rPr>
          <w:fldChar w:fldCharType="end"/>
        </w:r>
      </w:hyperlink>
    </w:p>
    <w:p w14:paraId="2672EAFF" w14:textId="70DF0806"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EF64F1">
          <w:rPr>
            <w:noProof/>
            <w:webHidden/>
          </w:rPr>
          <w:t>53</w:t>
        </w:r>
        <w:r>
          <w:rPr>
            <w:noProof/>
            <w:webHidden/>
          </w:rPr>
          <w:fldChar w:fldCharType="end"/>
        </w:r>
      </w:hyperlink>
    </w:p>
    <w:p w14:paraId="21AE00CB" w14:textId="3C717875"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EF64F1">
          <w:rPr>
            <w:noProof/>
            <w:webHidden/>
          </w:rPr>
          <w:t>54</w:t>
        </w:r>
        <w:r>
          <w:rPr>
            <w:noProof/>
            <w:webHidden/>
          </w:rPr>
          <w:fldChar w:fldCharType="end"/>
        </w:r>
      </w:hyperlink>
    </w:p>
    <w:p w14:paraId="2B614284" w14:textId="3879097F"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EF64F1">
          <w:rPr>
            <w:noProof/>
            <w:webHidden/>
          </w:rPr>
          <w:t>55</w:t>
        </w:r>
        <w:r>
          <w:rPr>
            <w:noProof/>
            <w:webHidden/>
          </w:rPr>
          <w:fldChar w:fldCharType="end"/>
        </w:r>
      </w:hyperlink>
    </w:p>
    <w:p w14:paraId="4D418277" w14:textId="1BABED0E"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EF64F1">
          <w:rPr>
            <w:noProof/>
            <w:webHidden/>
          </w:rPr>
          <w:t>58</w:t>
        </w:r>
        <w:r>
          <w:rPr>
            <w:noProof/>
            <w:webHidden/>
          </w:rPr>
          <w:fldChar w:fldCharType="end"/>
        </w:r>
      </w:hyperlink>
    </w:p>
    <w:p w14:paraId="6536F821" w14:textId="1D982D4A"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EF64F1">
          <w:rPr>
            <w:noProof/>
            <w:webHidden/>
          </w:rPr>
          <w:t>58</w:t>
        </w:r>
        <w:r>
          <w:rPr>
            <w:noProof/>
            <w:webHidden/>
          </w:rPr>
          <w:fldChar w:fldCharType="end"/>
        </w:r>
      </w:hyperlink>
    </w:p>
    <w:p w14:paraId="08D9EF38" w14:textId="230AB69F"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EF64F1">
          <w:rPr>
            <w:noProof/>
            <w:webHidden/>
          </w:rPr>
          <w:t>63</w:t>
        </w:r>
        <w:r>
          <w:rPr>
            <w:noProof/>
            <w:webHidden/>
          </w:rPr>
          <w:fldChar w:fldCharType="end"/>
        </w:r>
      </w:hyperlink>
    </w:p>
    <w:p w14:paraId="2BBAFA08" w14:textId="1D7BB52C"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EF64F1">
          <w:rPr>
            <w:noProof/>
            <w:webHidden/>
          </w:rPr>
          <w:t>64</w:t>
        </w:r>
        <w:r>
          <w:rPr>
            <w:noProof/>
            <w:webHidden/>
          </w:rPr>
          <w:fldChar w:fldCharType="end"/>
        </w:r>
      </w:hyperlink>
    </w:p>
    <w:p w14:paraId="3F16D1B5" w14:textId="58492B65"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EF64F1">
          <w:rPr>
            <w:noProof/>
            <w:webHidden/>
          </w:rPr>
          <w:t>66</w:t>
        </w:r>
        <w:r>
          <w:rPr>
            <w:noProof/>
            <w:webHidden/>
          </w:rPr>
          <w:fldChar w:fldCharType="end"/>
        </w:r>
      </w:hyperlink>
    </w:p>
    <w:p w14:paraId="6977ED8F" w14:textId="07DCB6F6"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EF64F1">
          <w:rPr>
            <w:noProof/>
            <w:webHidden/>
          </w:rPr>
          <w:t>66</w:t>
        </w:r>
        <w:r>
          <w:rPr>
            <w:noProof/>
            <w:webHidden/>
          </w:rPr>
          <w:fldChar w:fldCharType="end"/>
        </w:r>
      </w:hyperlink>
    </w:p>
    <w:p w14:paraId="38E17ADD" w14:textId="3EC776B2"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EF64F1">
          <w:rPr>
            <w:noProof/>
            <w:webHidden/>
          </w:rPr>
          <w:t>70</w:t>
        </w:r>
        <w:r>
          <w:rPr>
            <w:noProof/>
            <w:webHidden/>
          </w:rPr>
          <w:fldChar w:fldCharType="end"/>
        </w:r>
      </w:hyperlink>
    </w:p>
    <w:p w14:paraId="3D334A0D" w14:textId="6B984BD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EF64F1">
          <w:rPr>
            <w:noProof/>
            <w:webHidden/>
          </w:rPr>
          <w:t>73</w:t>
        </w:r>
        <w:r>
          <w:rPr>
            <w:noProof/>
            <w:webHidden/>
          </w:rPr>
          <w:fldChar w:fldCharType="end"/>
        </w:r>
      </w:hyperlink>
    </w:p>
    <w:p w14:paraId="73AC9F6C" w14:textId="2EB9FF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EF64F1">
          <w:rPr>
            <w:noProof/>
            <w:webHidden/>
          </w:rPr>
          <w:t>74</w:t>
        </w:r>
        <w:r>
          <w:rPr>
            <w:noProof/>
            <w:webHidden/>
          </w:rPr>
          <w:fldChar w:fldCharType="end"/>
        </w:r>
      </w:hyperlink>
    </w:p>
    <w:p w14:paraId="406CF61C" w14:textId="3C8220DC"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EF64F1">
          <w:rPr>
            <w:noProof/>
            <w:webHidden/>
          </w:rPr>
          <w:t>76</w:t>
        </w:r>
        <w:r>
          <w:rPr>
            <w:noProof/>
            <w:webHidden/>
          </w:rPr>
          <w:fldChar w:fldCharType="end"/>
        </w:r>
      </w:hyperlink>
    </w:p>
    <w:p w14:paraId="2F2A5E06" w14:textId="399D8EA9"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EF64F1">
          <w:rPr>
            <w:noProof/>
            <w:webHidden/>
          </w:rPr>
          <w:t>76</w:t>
        </w:r>
        <w:r>
          <w:rPr>
            <w:noProof/>
            <w:webHidden/>
          </w:rPr>
          <w:fldChar w:fldCharType="end"/>
        </w:r>
      </w:hyperlink>
    </w:p>
    <w:p w14:paraId="0765DB75" w14:textId="246BB81E"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EF64F1">
          <w:rPr>
            <w:noProof/>
            <w:webHidden/>
          </w:rPr>
          <w:t>81</w:t>
        </w:r>
        <w:r>
          <w:rPr>
            <w:noProof/>
            <w:webHidden/>
          </w:rPr>
          <w:fldChar w:fldCharType="end"/>
        </w:r>
      </w:hyperlink>
    </w:p>
    <w:p w14:paraId="69A0D1B9" w14:textId="65939226"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EF64F1">
          <w:rPr>
            <w:noProof/>
            <w:webHidden/>
          </w:rPr>
          <w:t>83</w:t>
        </w:r>
        <w:r>
          <w:rPr>
            <w:noProof/>
            <w:webHidden/>
          </w:rPr>
          <w:fldChar w:fldCharType="end"/>
        </w:r>
      </w:hyperlink>
    </w:p>
    <w:p w14:paraId="599A8537" w14:textId="551A165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EF64F1">
          <w:rPr>
            <w:noProof/>
            <w:webHidden/>
          </w:rPr>
          <w:t>85</w:t>
        </w:r>
        <w:r>
          <w:rPr>
            <w:noProof/>
            <w:webHidden/>
          </w:rPr>
          <w:fldChar w:fldCharType="end"/>
        </w:r>
      </w:hyperlink>
    </w:p>
    <w:p w14:paraId="17F5751C" w14:textId="741FF2B2"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EF64F1">
          <w:rPr>
            <w:noProof/>
            <w:webHidden/>
          </w:rPr>
          <w:t>88</w:t>
        </w:r>
        <w:r>
          <w:rPr>
            <w:noProof/>
            <w:webHidden/>
          </w:rPr>
          <w:fldChar w:fldCharType="end"/>
        </w:r>
      </w:hyperlink>
    </w:p>
    <w:p w14:paraId="3E9A7CC0" w14:textId="2BF89EBE"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EF64F1">
          <w:rPr>
            <w:noProof/>
            <w:webHidden/>
          </w:rPr>
          <w:t>90</w:t>
        </w:r>
        <w:r>
          <w:rPr>
            <w:noProof/>
            <w:webHidden/>
          </w:rPr>
          <w:fldChar w:fldCharType="end"/>
        </w:r>
      </w:hyperlink>
    </w:p>
    <w:p w14:paraId="47B0B9D3" w14:textId="0EDAF79C"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EF64F1">
          <w:rPr>
            <w:noProof/>
            <w:webHidden/>
          </w:rPr>
          <w:t>92</w:t>
        </w:r>
        <w:r>
          <w:rPr>
            <w:noProof/>
            <w:webHidden/>
          </w:rPr>
          <w:fldChar w:fldCharType="end"/>
        </w:r>
      </w:hyperlink>
    </w:p>
    <w:p w14:paraId="61D5B8F4" w14:textId="6D5B7740"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EF64F1">
          <w:rPr>
            <w:noProof/>
            <w:webHidden/>
          </w:rPr>
          <w:t>92</w:t>
        </w:r>
        <w:r>
          <w:rPr>
            <w:noProof/>
            <w:webHidden/>
          </w:rPr>
          <w:fldChar w:fldCharType="end"/>
        </w:r>
      </w:hyperlink>
    </w:p>
    <w:p w14:paraId="5F2558A8" w14:textId="774C21BD"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EF64F1">
          <w:rPr>
            <w:noProof/>
            <w:webHidden/>
          </w:rPr>
          <w:t>96</w:t>
        </w:r>
        <w:r>
          <w:rPr>
            <w:noProof/>
            <w:webHidden/>
          </w:rPr>
          <w:fldChar w:fldCharType="end"/>
        </w:r>
      </w:hyperlink>
    </w:p>
    <w:p w14:paraId="36C71413" w14:textId="15B12ECD"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EF64F1">
          <w:rPr>
            <w:noProof/>
            <w:webHidden/>
          </w:rPr>
          <w:t>99</w:t>
        </w:r>
        <w:r>
          <w:rPr>
            <w:noProof/>
            <w:webHidden/>
          </w:rPr>
          <w:fldChar w:fldCharType="end"/>
        </w:r>
      </w:hyperlink>
    </w:p>
    <w:p w14:paraId="0E59FE16" w14:textId="173F3E2E"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EF64F1">
          <w:rPr>
            <w:noProof/>
            <w:webHidden/>
          </w:rPr>
          <w:t>100</w:t>
        </w:r>
        <w:r>
          <w:rPr>
            <w:noProof/>
            <w:webHidden/>
          </w:rPr>
          <w:fldChar w:fldCharType="end"/>
        </w:r>
      </w:hyperlink>
    </w:p>
    <w:p w14:paraId="2D755C06" w14:textId="11829752"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EF64F1">
          <w:rPr>
            <w:noProof/>
            <w:webHidden/>
          </w:rPr>
          <w:t>100</w:t>
        </w:r>
        <w:r>
          <w:rPr>
            <w:noProof/>
            <w:webHidden/>
          </w:rPr>
          <w:fldChar w:fldCharType="end"/>
        </w:r>
      </w:hyperlink>
    </w:p>
    <w:p w14:paraId="0A581758" w14:textId="7E5FD078"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EF64F1">
          <w:rPr>
            <w:noProof/>
            <w:webHidden/>
          </w:rPr>
          <w:t>108</w:t>
        </w:r>
        <w:r>
          <w:rPr>
            <w:noProof/>
            <w:webHidden/>
          </w:rPr>
          <w:fldChar w:fldCharType="end"/>
        </w:r>
      </w:hyperlink>
    </w:p>
    <w:p w14:paraId="7084312E" w14:textId="358716B3"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EF64F1">
          <w:rPr>
            <w:noProof/>
            <w:webHidden/>
          </w:rPr>
          <w:t>109</w:t>
        </w:r>
        <w:r>
          <w:rPr>
            <w:noProof/>
            <w:webHidden/>
          </w:rPr>
          <w:fldChar w:fldCharType="end"/>
        </w:r>
      </w:hyperlink>
    </w:p>
    <w:p w14:paraId="1A5FA3FB" w14:textId="08D8338A"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EF64F1">
          <w:rPr>
            <w:noProof/>
            <w:webHidden/>
          </w:rPr>
          <w:t>110</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55"/>
        <w:gridCol w:w="5218"/>
        <w:gridCol w:w="221"/>
        <w:gridCol w:w="146"/>
        <w:gridCol w:w="411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CAE87E0" w:rsidR="00093CA9" w:rsidRDefault="00B302E8" w:rsidP="00093CA9">
            <w:r w:rsidRPr="00B302E8">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45C28EC" w:rsidR="00093CA9" w:rsidRDefault="00265D5C" w:rsidP="00093CA9">
            <w:r w:rsidRPr="00265D5C">
              <w:t>Government Regulation no. 33 of 2023 concerning Energy Conservation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2CABCF6" w:rsidR="00093CA9" w:rsidRDefault="00CF5C60" w:rsidP="00093CA9">
            <w:hyperlink r:id="rId17" w:history="1">
              <w:r w:rsidRPr="00207844">
                <w:rPr>
                  <w:rStyle w:val="Hyperlink"/>
                </w:rPr>
                <w:t>https://web.archive.org/web/20250702090131/https:/peraturan.bpk.go.id/Download/308697/PP%20Nomor%2033%20Tahun%202023.pdf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20DFEAB" w:rsidR="00093CA9" w:rsidRDefault="00265D5C"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047803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A1341BD" w14:textId="77777777" w:rsidR="00C86E83" w:rsidRDefault="00C86E83" w:rsidP="00C86E83">
            <w:pPr>
              <w:jc w:val="both"/>
              <w:rPr>
                <w:lang w:val="en-ID"/>
              </w:rPr>
            </w:pPr>
            <w:r>
              <w:rPr>
                <w:lang w:val="en-ID"/>
              </w:rPr>
              <w:t xml:space="preserve">This </w:t>
            </w:r>
            <w:r w:rsidRPr="00C86E83">
              <w:rPr>
                <w:lang w:val="en-ID"/>
              </w:rPr>
              <w:t xml:space="preserve">policy tool aimed at promoting the efficient, rational, and sustainable use of energy to ensure long-term national energy availability in an environmentally responsible manner. The regulation applies to both upstream (i.e., conservation of energy resources during exploration and extraction) and downstream (i.e., production, supply, and consumption of energy across sectors such as transportation, industry, households, and buildings) energy management. </w:t>
            </w:r>
          </w:p>
          <w:p w14:paraId="18257824" w14:textId="261F48FE" w:rsidR="00093CA9" w:rsidRPr="00C86E83" w:rsidRDefault="00C86E83" w:rsidP="00C86E83">
            <w:pPr>
              <w:jc w:val="both"/>
              <w:rPr>
                <w:lang w:val="en-ID"/>
              </w:rPr>
            </w:pPr>
            <w:r w:rsidRPr="00C86E83">
              <w:rPr>
                <w:lang w:val="en-ID"/>
              </w:rPr>
              <w:t>It includes several key components: (i) energy management systems; (ii) minimum energy performance standards and labelling; (iii) financing schemes; (iv) support for energy service companies (ESCOs); (v) awareness-raising and capacity building; (vi) research and innovation; and (vii) cooperation in the energy conservation field. It also incorporates mechanisms for incentives, disincentives, data systems, and oversight.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93FFB7D" w:rsidR="00093CA9" w:rsidRDefault="00C86E8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D4EB216" w:rsidR="00093CA9" w:rsidRPr="00173D7C" w:rsidRDefault="00C86E83"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D5E3874" w:rsidR="00093CA9" w:rsidRPr="00173D7C" w:rsidRDefault="00C86E83"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876B9CC" w:rsidR="00093CA9" w:rsidRDefault="005C0C81" w:rsidP="00093CA9">
            <w:r>
              <w:t>President of Republic of Indonesia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730E72E" w:rsidR="00093CA9" w:rsidRPr="006B7B0D" w:rsidRDefault="005C0C81" w:rsidP="00093CA9">
            <w:r w:rsidRPr="005C0C81">
              <w:t>Ministry of Energy and Mineral Resources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1BEC55C" w:rsidR="00093CA9" w:rsidRPr="006B7B0D" w:rsidRDefault="005C0C8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EA626B3" w:rsidR="00093CA9" w:rsidRDefault="005C0C8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C0F22EF" w14:textId="21B10025" w:rsidR="0023132C" w:rsidRPr="0023132C" w:rsidRDefault="0023132C" w:rsidP="0023132C">
            <w:pPr>
              <w:jc w:val="both"/>
              <w:rPr>
                <w:color w:val="000000" w:themeColor="text1"/>
                <w:lang w:val="en-ID"/>
              </w:rPr>
            </w:pPr>
            <w:r>
              <w:rPr>
                <w:color w:val="000000" w:themeColor="text1"/>
                <w:lang w:val="en-ID"/>
              </w:rPr>
              <w:t>The policy tool</w:t>
            </w:r>
            <w:r w:rsidRPr="0023132C">
              <w:rPr>
                <w:color w:val="000000" w:themeColor="text1"/>
                <w:lang w:val="en-ID"/>
              </w:rPr>
              <w:t xml:space="preserve"> includes a structured monitoring and reporting framework to ensure enforcement. Reporting obligations apply to energy providers (Article 29(4), Article 35), local governments (Article 41), and ministries/agencies (Article 41(3)), with mandatory annual submissions to the Ministe</w:t>
            </w:r>
            <w:r>
              <w:rPr>
                <w:color w:val="000000" w:themeColor="text1"/>
                <w:lang w:val="en-ID"/>
              </w:rPr>
              <w:t>r</w:t>
            </w:r>
            <w:r w:rsidR="003526FB">
              <w:rPr>
                <w:color w:val="000000" w:themeColor="text1"/>
                <w:lang w:val="en-ID"/>
              </w:rPr>
              <w:t xml:space="preserve"> </w:t>
            </w:r>
            <w:r>
              <w:rPr>
                <w:color w:val="000000" w:themeColor="text1"/>
                <w:lang w:val="en-ID"/>
              </w:rPr>
              <w:t>of Energy and Mineral Resources</w:t>
            </w:r>
            <w:r w:rsidR="003526FB">
              <w:rPr>
                <w:color w:val="000000" w:themeColor="text1"/>
                <w:lang w:val="en-ID"/>
              </w:rPr>
              <w:t xml:space="preserve"> (“Minister”)</w:t>
            </w:r>
            <w:r w:rsidRPr="0023132C">
              <w:rPr>
                <w:color w:val="000000" w:themeColor="text1"/>
                <w:lang w:val="en-ID"/>
              </w:rPr>
              <w:t>. The Minister conducts monitoring and evaluation based on these reports (Article 42), and the results inform institutional performance indicators and are submitted to oversight ministries (Article 42(3)</w:t>
            </w:r>
            <w:proofErr w:type="gramStart"/>
            <w:r w:rsidRPr="0023132C">
              <w:rPr>
                <w:color w:val="000000" w:themeColor="text1"/>
                <w:lang w:val="en-ID"/>
              </w:rPr>
              <w:t>–(</w:t>
            </w:r>
            <w:proofErr w:type="gramEnd"/>
            <w:r w:rsidRPr="0023132C">
              <w:rPr>
                <w:color w:val="000000" w:themeColor="text1"/>
                <w:lang w:val="en-ID"/>
              </w:rPr>
              <w:t>6)).</w:t>
            </w:r>
          </w:p>
          <w:p w14:paraId="2C2128DB" w14:textId="56A0E86E" w:rsidR="005C0C81" w:rsidRPr="0023132C" w:rsidRDefault="0023132C" w:rsidP="0023132C">
            <w:pPr>
              <w:jc w:val="both"/>
              <w:rPr>
                <w:color w:val="000000" w:themeColor="text1"/>
                <w:lang w:val="en-ID"/>
              </w:rPr>
            </w:pPr>
            <w:r w:rsidRPr="0023132C">
              <w:rPr>
                <w:color w:val="000000" w:themeColor="text1"/>
                <w:lang w:val="en-ID"/>
              </w:rPr>
              <w:t xml:space="preserve">Additionally, Article 60 stipulates that the </w:t>
            </w:r>
            <w:r w:rsidR="003526FB">
              <w:rPr>
                <w:color w:val="000000" w:themeColor="text1"/>
                <w:lang w:val="en-ID"/>
              </w:rPr>
              <w:t>Minister</w:t>
            </w:r>
            <w:r w:rsidRPr="0023132C">
              <w:rPr>
                <w:color w:val="000000" w:themeColor="text1"/>
                <w:lang w:val="en-ID"/>
              </w:rPr>
              <w:t xml:space="preserve">, relevant ministers or agency heads, governors, and mayors/regents must monitor and evaluate energy conservation activities within their </w:t>
            </w:r>
            <w:r w:rsidR="003526FB" w:rsidRPr="0023132C">
              <w:rPr>
                <w:color w:val="000000" w:themeColor="text1"/>
                <w:lang w:val="en-ID"/>
              </w:rPr>
              <w:t>jurisdiction and</w:t>
            </w:r>
            <w:r w:rsidRPr="0023132C">
              <w:rPr>
                <w:color w:val="000000" w:themeColor="text1"/>
                <w:lang w:val="en-ID"/>
              </w:rPr>
              <w:t xml:space="preserve"> report the outcomes to the </w:t>
            </w:r>
            <w:r w:rsidR="003526FB">
              <w:rPr>
                <w:color w:val="000000" w:themeColor="text1"/>
                <w:lang w:val="en-ID"/>
              </w:rPr>
              <w:t>Minister</w:t>
            </w:r>
            <w:r w:rsidRPr="0023132C">
              <w:rPr>
                <w:color w:val="000000" w:themeColor="text1"/>
                <w:lang w:val="en-ID"/>
              </w:rPr>
              <w:t xml:space="preserve"> for final evaluation. Articles 56–6</w:t>
            </w:r>
            <w:r w:rsidR="003526FB">
              <w:rPr>
                <w:color w:val="000000" w:themeColor="text1"/>
                <w:lang w:val="en-ID"/>
              </w:rPr>
              <w:t>0</w:t>
            </w:r>
            <w:r w:rsidRPr="0023132C">
              <w:rPr>
                <w:color w:val="000000" w:themeColor="text1"/>
                <w:lang w:val="en-ID"/>
              </w:rPr>
              <w:t xml:space="preserve"> form a dedicated section on </w:t>
            </w:r>
            <w:r w:rsidRPr="0023132C">
              <w:rPr>
                <w:b/>
                <w:bCs/>
                <w:color w:val="000000" w:themeColor="text1"/>
                <w:lang w:val="en-ID"/>
              </w:rPr>
              <w:t>supervision and enforcement</w:t>
            </w:r>
            <w:r w:rsidRPr="0023132C">
              <w:rPr>
                <w:color w:val="000000" w:themeColor="text1"/>
                <w:lang w:val="en-ID"/>
              </w:rPr>
              <w:t xml:space="preserve">, outlining responsibilities for regulatory oversight, compliance assurance, and capacity-building.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302E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709"/>
        <w:gridCol w:w="4088"/>
        <w:gridCol w:w="429"/>
        <w:gridCol w:w="1526"/>
        <w:gridCol w:w="1823"/>
        <w:gridCol w:w="1886"/>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61745F3C"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48767AB4"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11DE1B32" w:rsidR="00C4670C" w:rsidRPr="00C37D48" w:rsidRDefault="00C7520B"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0C60EBB"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4802170F"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133B6F92"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59D5E515" w:rsidR="00C4670C" w:rsidRPr="00C37D48" w:rsidRDefault="00C7520B" w:rsidP="00C37D48">
            <w:pPr>
              <w:rPr>
                <w:rFonts w:ascii="Calibri" w:hAnsi="Calibri" w:cs="Calibri"/>
              </w:rPr>
            </w:pPr>
            <w:r>
              <w:rPr>
                <w:rFonts w:ascii="Calibri" w:hAnsi="Calibri" w:cs="Calibri"/>
              </w:rPr>
              <w:t>X</w:t>
            </w: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92FCCF0"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2A669446"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C5304DE"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57EE7E68"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37439BD"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4CD7FF52"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156AC9C7" w:rsidR="00C4670C" w:rsidRPr="00C37D48" w:rsidRDefault="00604085"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11D477EE" w:rsidR="004F276F" w:rsidRPr="00C37D48" w:rsidRDefault="00C7520B"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1F09AD78" w:rsidR="004F276F" w:rsidRPr="00C37D48" w:rsidRDefault="00C7520B"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51509D6C" w:rsidR="004F276F" w:rsidRPr="00C37D48" w:rsidRDefault="00C7520B"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1CB4275B" w:rsidR="004F276F" w:rsidRPr="00C37D48" w:rsidRDefault="00C7520B" w:rsidP="00C37D48">
            <w:pPr>
              <w:rPr>
                <w:rFonts w:ascii="Calibri" w:hAnsi="Calibri" w:cs="Calibri"/>
              </w:rPr>
            </w:pPr>
            <w:r>
              <w:rPr>
                <w:rFonts w:ascii="Calibri" w:hAnsi="Calibri" w:cs="Calibri"/>
              </w:rPr>
              <w:t>X</w:t>
            </w: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46568FD8" w:rsidR="004F276F" w:rsidRPr="00C37D48" w:rsidRDefault="00C7520B" w:rsidP="00C37D48">
            <w:pPr>
              <w:rPr>
                <w:rFonts w:ascii="Calibri" w:hAnsi="Calibri" w:cs="Calibri"/>
              </w:rPr>
            </w:pPr>
            <w:r>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13797250"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01D93DBF"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646C2CA0"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06226790"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0EBA201"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1AB2F505"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9116B2F"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5E6E8453"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50D7573E"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03ABF5C"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2D38EAAF"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18CC2476"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6A9F760A"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2806029"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122058F5" w:rsidR="004F276F" w:rsidRPr="00C37D48" w:rsidRDefault="004F276F" w:rsidP="00C37D48">
            <w:pPr>
              <w:rPr>
                <w:rFonts w:ascii="Calibri" w:hAnsi="Calibri" w:cs="Calibri"/>
              </w:rPr>
            </w:pPr>
          </w:p>
        </w:tc>
        <w:tc>
          <w:tcPr>
            <w:tcW w:w="1664" w:type="dxa"/>
            <w:vAlign w:val="center"/>
          </w:tcPr>
          <w:p w14:paraId="03AEF6B3" w14:textId="11F5C868"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1D160A83"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0DC6E282" w:rsidR="004F276F" w:rsidRPr="00C37D48" w:rsidRDefault="004F276F" w:rsidP="00C37D48">
            <w:pPr>
              <w:rPr>
                <w:rFonts w:ascii="Calibri" w:hAnsi="Calibri" w:cs="Calibri"/>
              </w:rPr>
            </w:pPr>
          </w:p>
        </w:tc>
        <w:tc>
          <w:tcPr>
            <w:tcW w:w="1664" w:type="dxa"/>
            <w:vAlign w:val="center"/>
          </w:tcPr>
          <w:p w14:paraId="0A54D42C" w14:textId="719E0E11"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1E1E8389" w:rsidR="004F276F" w:rsidRPr="00C37D48" w:rsidRDefault="004F276F" w:rsidP="00C37D48">
            <w:pPr>
              <w:rPr>
                <w:rFonts w:ascii="Calibri" w:hAnsi="Calibri" w:cs="Calibri"/>
              </w:rPr>
            </w:pPr>
          </w:p>
        </w:tc>
        <w:tc>
          <w:tcPr>
            <w:tcW w:w="1614" w:type="dxa"/>
            <w:vAlign w:val="center"/>
          </w:tcPr>
          <w:p w14:paraId="33236B6A" w14:textId="185847CB" w:rsidR="004F276F" w:rsidRPr="00C37D48" w:rsidRDefault="004F276F" w:rsidP="00C37D48">
            <w:pPr>
              <w:rPr>
                <w:rFonts w:ascii="Calibri" w:hAnsi="Calibri" w:cs="Calibri"/>
              </w:rPr>
            </w:pPr>
          </w:p>
        </w:tc>
        <w:tc>
          <w:tcPr>
            <w:tcW w:w="1664" w:type="dxa"/>
            <w:vAlign w:val="center"/>
          </w:tcPr>
          <w:p w14:paraId="70DC804C" w14:textId="578E9125"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21EC4BB4"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136312BC"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AD2650D"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547B8AC0"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2286B83A"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8DFCF39" w:rsidR="004F276F" w:rsidRPr="00C37D48" w:rsidRDefault="004F276F" w:rsidP="00C37D48">
            <w:pPr>
              <w:rPr>
                <w:rFonts w:ascii="Calibri" w:hAnsi="Calibri" w:cs="Calibri"/>
              </w:rPr>
            </w:pPr>
          </w:p>
        </w:tc>
        <w:tc>
          <w:tcPr>
            <w:tcW w:w="1664" w:type="dxa"/>
            <w:vAlign w:val="center"/>
          </w:tcPr>
          <w:p w14:paraId="413D0AF8" w14:textId="25563FB2"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8D65319"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513ED234"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F9E4D51" w14:textId="77777777" w:rsidR="00B51213" w:rsidRDefault="005E164B" w:rsidP="005E164B">
            <w:pPr>
              <w:jc w:val="both"/>
              <w:rPr>
                <w:rFonts w:ascii="Calibri" w:hAnsi="Calibri" w:cs="Calibri"/>
                <w:lang w:val="en-ID"/>
              </w:rPr>
            </w:pPr>
            <w:r w:rsidRPr="005E164B">
              <w:rPr>
                <w:rFonts w:ascii="Calibri" w:hAnsi="Calibri" w:cs="Calibri"/>
                <w:lang w:val="en-ID"/>
              </w:rPr>
              <w:t xml:space="preserve">The </w:t>
            </w:r>
            <w:r w:rsidR="00D07FC9" w:rsidRPr="00D07FC9">
              <w:rPr>
                <w:rFonts w:ascii="Calibri" w:hAnsi="Calibri" w:cs="Calibri"/>
                <w:lang w:val="en-ID"/>
              </w:rPr>
              <w:t xml:space="preserve">policy tool distinguishes targeted entities both by sector and by thresholds of energy use, and it also outlines differentiated duties based on the role of the entity (e.g., energy provider, energy </w:t>
            </w:r>
            <w:r w:rsidR="00D07FC9" w:rsidRPr="00D07FC9">
              <w:rPr>
                <w:rFonts w:ascii="Calibri" w:hAnsi="Calibri" w:cs="Calibri"/>
                <w:lang w:val="en-ID"/>
              </w:rPr>
              <w:lastRenderedPageBreak/>
              <w:t>user, government institution, or energy service company). These distinctions are detailed as follows:</w:t>
            </w:r>
          </w:p>
          <w:p w14:paraId="66796239" w14:textId="0A884427" w:rsidR="00B51213" w:rsidRDefault="00D07FC9" w:rsidP="005E164B">
            <w:pPr>
              <w:pStyle w:val="ListParagraph"/>
              <w:numPr>
                <w:ilvl w:val="0"/>
                <w:numId w:val="50"/>
              </w:numPr>
              <w:jc w:val="both"/>
              <w:rPr>
                <w:rFonts w:ascii="Calibri" w:hAnsi="Calibri" w:cs="Calibri"/>
                <w:lang w:val="en-ID"/>
              </w:rPr>
            </w:pPr>
            <w:r w:rsidRPr="00B51213">
              <w:rPr>
                <w:rFonts w:ascii="Calibri" w:hAnsi="Calibri" w:cs="Calibri"/>
                <w:lang w:val="en-ID"/>
              </w:rPr>
              <w:t>Sectors Covered: Mandatory energy conservation obligations apply to sectors including transportation, industry</w:t>
            </w:r>
            <w:r w:rsidR="005E164B" w:rsidRPr="00B51213">
              <w:rPr>
                <w:rFonts w:ascii="Calibri" w:hAnsi="Calibri" w:cs="Calibri"/>
                <w:lang w:val="en-ID"/>
              </w:rPr>
              <w:t xml:space="preserve">, and </w:t>
            </w:r>
            <w:r w:rsidR="00B51213">
              <w:rPr>
                <w:rFonts w:ascii="Calibri" w:hAnsi="Calibri" w:cs="Calibri"/>
                <w:lang w:val="en-ID"/>
              </w:rPr>
              <w:t xml:space="preserve">tower </w:t>
            </w:r>
            <w:r w:rsidRPr="00B51213">
              <w:rPr>
                <w:rFonts w:ascii="Calibri" w:hAnsi="Calibri" w:cs="Calibri"/>
                <w:lang w:val="en-ID"/>
              </w:rPr>
              <w:t>buildings.</w:t>
            </w:r>
          </w:p>
          <w:p w14:paraId="354413FA" w14:textId="77777777" w:rsidR="00B51213" w:rsidRDefault="00D07FC9" w:rsidP="005E164B">
            <w:pPr>
              <w:pStyle w:val="ListParagraph"/>
              <w:numPr>
                <w:ilvl w:val="0"/>
                <w:numId w:val="50"/>
              </w:numPr>
              <w:jc w:val="both"/>
              <w:rPr>
                <w:rFonts w:ascii="Calibri" w:hAnsi="Calibri" w:cs="Calibri"/>
                <w:lang w:val="en-ID"/>
              </w:rPr>
            </w:pPr>
            <w:r w:rsidRPr="00B51213">
              <w:rPr>
                <w:rFonts w:ascii="Calibri" w:hAnsi="Calibri" w:cs="Calibri"/>
                <w:lang w:val="en-ID"/>
              </w:rPr>
              <w:t>Voluntary vs. Mandatory: Entities below the threshold (e.g., &lt;4,000 or &lt;6,000 TOE/year) may voluntarily implement energy management systems (Articles 31(2), 32(2), 34(2), 29(2)). However, government agencies (national and subnational) are mandated to apply energy conservation regardless of thresholds (Articles 37–39).</w:t>
            </w:r>
          </w:p>
          <w:p w14:paraId="3377EC97" w14:textId="28AB3A2D" w:rsidR="00B51213" w:rsidRDefault="00D07FC9" w:rsidP="005E164B">
            <w:pPr>
              <w:pStyle w:val="ListParagraph"/>
              <w:numPr>
                <w:ilvl w:val="0"/>
                <w:numId w:val="50"/>
              </w:numPr>
              <w:jc w:val="both"/>
              <w:rPr>
                <w:rFonts w:ascii="Calibri" w:hAnsi="Calibri" w:cs="Calibri"/>
                <w:lang w:val="en-ID"/>
              </w:rPr>
            </w:pPr>
            <w:r w:rsidRPr="00B51213">
              <w:rPr>
                <w:rFonts w:ascii="Calibri" w:hAnsi="Calibri" w:cs="Calibri"/>
                <w:lang w:val="en-ID"/>
              </w:rPr>
              <w:t xml:space="preserve">Financial Sector Involvement: Article 16(3) requires the Government to coordinate with Bank Indonesia and the Financial Services Authority (OJK) to mobilize financing support for energy conservation. </w:t>
            </w:r>
          </w:p>
          <w:p w14:paraId="41EA3B18" w14:textId="1EB7BB73" w:rsidR="004F276F" w:rsidRPr="00B51213" w:rsidRDefault="00D07FC9" w:rsidP="00B51213">
            <w:pPr>
              <w:pStyle w:val="ListParagraph"/>
              <w:numPr>
                <w:ilvl w:val="0"/>
                <w:numId w:val="50"/>
              </w:numPr>
              <w:jc w:val="both"/>
              <w:rPr>
                <w:rFonts w:ascii="Calibri" w:hAnsi="Calibri" w:cs="Calibri"/>
                <w:lang w:val="en-ID"/>
              </w:rPr>
            </w:pPr>
            <w:r w:rsidRPr="00B51213">
              <w:rPr>
                <w:rFonts w:ascii="Calibri" w:hAnsi="Calibri" w:cs="Calibri"/>
                <w:lang w:val="en-ID"/>
              </w:rPr>
              <w:t>Energy Service Companies (</w:t>
            </w:r>
            <w:r w:rsidR="005E164B" w:rsidRPr="00B51213">
              <w:rPr>
                <w:rFonts w:ascii="Calibri" w:hAnsi="Calibri" w:cs="Calibri"/>
                <w:lang w:val="en-ID"/>
              </w:rPr>
              <w:t>“</w:t>
            </w:r>
            <w:r w:rsidRPr="00B51213">
              <w:rPr>
                <w:rFonts w:ascii="Calibri" w:hAnsi="Calibri" w:cs="Calibri"/>
                <w:lang w:val="en-ID"/>
              </w:rPr>
              <w:t>ESCOs</w:t>
            </w:r>
            <w:r w:rsidR="005E164B" w:rsidRPr="00B51213">
              <w:rPr>
                <w:rFonts w:ascii="Calibri" w:hAnsi="Calibri" w:cs="Calibri"/>
                <w:lang w:val="en-ID"/>
              </w:rPr>
              <w:t>”</w:t>
            </w:r>
            <w:r w:rsidRPr="00B51213">
              <w:rPr>
                <w:rFonts w:ascii="Calibri" w:hAnsi="Calibri" w:cs="Calibri"/>
                <w:lang w:val="en-ID"/>
              </w:rPr>
              <w:t xml:space="preserve">): Articles 17 to 22 introduce a distinct category of ESCOs, </w:t>
            </w:r>
            <w:r w:rsidR="005E164B" w:rsidRPr="00B51213">
              <w:rPr>
                <w:rFonts w:ascii="Calibri" w:hAnsi="Calibri" w:cs="Calibri"/>
              </w:rPr>
              <w:t xml:space="preserve">such as: conducting Investment-Grade Energy Audits; providing Energy Efficiency Project Financing; installing and monitoring Energy Efficiency Projects; operating, maintaining, and repairing energy installations; and performing Measurement and </w:t>
            </w:r>
            <w:r w:rsidR="00B51213" w:rsidRPr="00B51213">
              <w:rPr>
                <w:rFonts w:ascii="Calibri" w:hAnsi="Calibri" w:cs="Calibri"/>
              </w:rPr>
              <w:t>v</w:t>
            </w:r>
            <w:r w:rsidR="005E164B" w:rsidRPr="00B51213">
              <w:rPr>
                <w:rFonts w:ascii="Calibri" w:hAnsi="Calibri" w:cs="Calibri"/>
              </w:rPr>
              <w:t>erificatio</w:t>
            </w:r>
            <w:r w:rsidR="00B51213" w:rsidRPr="00B51213">
              <w:rPr>
                <w:rFonts w:ascii="Calibri" w:hAnsi="Calibri" w:cs="Calibri"/>
              </w:rPr>
              <w:t>n</w:t>
            </w:r>
            <w:r w:rsidR="005E164B" w:rsidRPr="00B51213">
              <w:rPr>
                <w:rFonts w:ascii="Calibri" w:hAnsi="Calibri" w:cs="Calibri"/>
              </w:rPr>
              <w:t xml:space="preserve"> of energy performance by certified verifiers.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302E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9FBBDB1" w:rsidR="004F276F" w:rsidRPr="00C37D48" w:rsidRDefault="00604085"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7CD6B6E" w:rsidR="004F276F" w:rsidRPr="00C37D48" w:rsidRDefault="00AC1AF2"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078A1828"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3BF02A0D" w:rsidR="004F276F" w:rsidRPr="004B59A8" w:rsidRDefault="008B3C23" w:rsidP="008B3C23">
            <w:pPr>
              <w:jc w:val="both"/>
              <w:rPr>
                <w:rFonts w:ascii="Calibri" w:hAnsi="Calibri" w:cs="Calibri"/>
              </w:rPr>
            </w:pPr>
            <w:r w:rsidRPr="004B59A8">
              <w:rPr>
                <w:rFonts w:ascii="Calibri" w:hAnsi="Calibri" w:cs="Calibri"/>
              </w:rPr>
              <w:t xml:space="preserve">Entities that consume less than the defined thresholds (i.e. &lt;4,000 TOE/year for transport and industry; &lt;500 TOE/year for </w:t>
            </w:r>
            <w:r w:rsidR="00AC1AF2">
              <w:rPr>
                <w:rFonts w:ascii="Calibri" w:hAnsi="Calibri" w:cs="Calibri"/>
              </w:rPr>
              <w:t xml:space="preserve">tower </w:t>
            </w:r>
            <w:r w:rsidRPr="004B59A8">
              <w:rPr>
                <w:rFonts w:ascii="Calibri" w:hAnsi="Calibri" w:cs="Calibri"/>
              </w:rPr>
              <w:t xml:space="preserve">buildings) are not subject to mandatory </w:t>
            </w:r>
            <w:r w:rsidR="00C33FDA" w:rsidRPr="004B59A8">
              <w:rPr>
                <w:rFonts w:ascii="Calibri" w:hAnsi="Calibri" w:cs="Calibri"/>
              </w:rPr>
              <w:t>compliance but</w:t>
            </w:r>
            <w:r w:rsidRPr="004B59A8">
              <w:rPr>
                <w:rFonts w:ascii="Calibri" w:hAnsi="Calibri" w:cs="Calibri"/>
              </w:rPr>
              <w:t xml:space="preserve"> may voluntarily implement energy management systems (Article 31(2), Article 32(2), Article 34(2)). Thus, the policy establishes a binding obligation for high energy users, while allowing smaller energy users to opt in on a voluntary basis.</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7727B33" w:rsidR="004F276F" w:rsidRPr="00C37D48" w:rsidRDefault="004B59A8"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46D1615" w:rsidR="001F30DE" w:rsidRPr="00C37D48" w:rsidRDefault="00AE31BA"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84498AD" w14:textId="77777777" w:rsidR="001F30DE" w:rsidRPr="00031C8B" w:rsidRDefault="00AE31BA" w:rsidP="00C37D48">
            <w:pPr>
              <w:rPr>
                <w:rFonts w:cstheme="minorHAnsi"/>
              </w:rPr>
            </w:pPr>
            <w:r w:rsidRPr="00031C8B">
              <w:rPr>
                <w:rFonts w:cstheme="minorHAnsi"/>
              </w:rPr>
              <w:t>The following is the Ministerial regulation mandated by the policy tool.</w:t>
            </w:r>
          </w:p>
          <w:p w14:paraId="3BA84EFA" w14:textId="40085EF6" w:rsidR="00AE31BA" w:rsidRPr="00031C8B" w:rsidRDefault="00031C8B" w:rsidP="00C37D48">
            <w:pPr>
              <w:rPr>
                <w:rFonts w:cstheme="minorHAnsi"/>
              </w:rPr>
            </w:pPr>
            <w:r w:rsidRPr="00031C8B">
              <w:rPr>
                <w:rFonts w:cstheme="minorHAnsi"/>
                <w:color w:val="2C2C2C"/>
                <w:shd w:val="clear" w:color="auto" w:fill="FFFFFF"/>
              </w:rPr>
              <w:t> </w:t>
            </w:r>
            <w:hyperlink r:id="rId18" w:history="1">
              <w:r w:rsidR="00CF5C60" w:rsidRPr="00207844">
                <w:rPr>
                  <w:rStyle w:val="Hyperlink"/>
                </w:rPr>
                <w:t>https://web.archive.org/web/20250702090147/https:/drive.esdm.go.id/wl/?id=lx66Lz63CnXJWv1TBarc9X28tZfgMZ6y</w:t>
              </w:r>
            </w:hyperlink>
            <w:r w:rsidR="00CF5C60">
              <w:t xml:space="preserve"> </w:t>
            </w:r>
            <w:r w:rsidR="00AE31BA" w:rsidRPr="00031C8B">
              <w:rPr>
                <w:rFonts w:cstheme="minorHAns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C1A4917" w:rsidR="001F30DE" w:rsidRPr="00C37D48" w:rsidRDefault="00AE31BA"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2D04B" w:rsidR="001F30DE" w:rsidRPr="00C37D48" w:rsidRDefault="00AE31BA"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AADBE64" w:rsidR="004F48E8" w:rsidRPr="00C37D48" w:rsidRDefault="00AE31BA"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66DC098" w:rsidR="000A1365" w:rsidRPr="00C37D48" w:rsidRDefault="00AE31BA"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7B825EE2" w:rsidR="00890032" w:rsidRPr="00C37D48" w:rsidRDefault="00AE31BA"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F91551"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7F94BF0" w14:textId="77777777" w:rsidR="00F91551" w:rsidRDefault="00F91551" w:rsidP="00C33FDA">
            <w:pPr>
              <w:jc w:val="both"/>
              <w:rPr>
                <w:rFonts w:ascii="Calibri" w:hAnsi="Calibri" w:cs="Calibri"/>
                <w:lang w:val="en-ID"/>
              </w:rPr>
            </w:pPr>
            <w:r w:rsidRPr="00F91551">
              <w:rPr>
                <w:rFonts w:ascii="Calibri" w:hAnsi="Calibri" w:cs="Calibri"/>
                <w:lang w:val="en-ID"/>
              </w:rPr>
              <w:t>The obligation to implement</w:t>
            </w:r>
            <w:r>
              <w:rPr>
                <w:rFonts w:ascii="Calibri" w:hAnsi="Calibri" w:cs="Calibri"/>
                <w:lang w:val="en-ID"/>
              </w:rPr>
              <w:t xml:space="preserve"> </w:t>
            </w:r>
            <w:r w:rsidRPr="00F91551">
              <w:rPr>
                <w:rFonts w:ascii="Calibri" w:hAnsi="Calibri" w:cs="Calibri"/>
                <w:lang w:val="en-ID"/>
              </w:rPr>
              <w:t>Energy Management</w:t>
            </w:r>
            <w:r>
              <w:rPr>
                <w:rFonts w:ascii="Calibri" w:hAnsi="Calibri" w:cs="Calibri"/>
                <w:lang w:val="en-ID"/>
              </w:rPr>
              <w:t xml:space="preserve"> </w:t>
            </w:r>
            <w:r w:rsidRPr="00F91551">
              <w:rPr>
                <w:rFonts w:ascii="Calibri" w:hAnsi="Calibri" w:cs="Calibri"/>
                <w:lang w:val="en-ID"/>
              </w:rPr>
              <w:t>which functions as a form of mandatory transition pla</w:t>
            </w:r>
            <w:r>
              <w:rPr>
                <w:rFonts w:ascii="Calibri" w:hAnsi="Calibri" w:cs="Calibri"/>
                <w:lang w:val="en-ID"/>
              </w:rPr>
              <w:t xml:space="preserve">n </w:t>
            </w:r>
            <w:r w:rsidRPr="00F91551">
              <w:rPr>
                <w:rFonts w:ascii="Calibri" w:hAnsi="Calibri" w:cs="Calibri"/>
                <w:lang w:val="en-ID"/>
              </w:rPr>
              <w:t>is required for entities exceeding defined annual energy consumption</w:t>
            </w:r>
            <w:r>
              <w:rPr>
                <w:rFonts w:ascii="Calibri" w:hAnsi="Calibri" w:cs="Calibri"/>
                <w:lang w:val="en-ID"/>
              </w:rPr>
              <w:t xml:space="preserve"> </w:t>
            </w:r>
            <w:r w:rsidRPr="00F91551">
              <w:rPr>
                <w:rFonts w:ascii="Calibri" w:hAnsi="Calibri" w:cs="Calibri"/>
                <w:lang w:val="en-ID"/>
              </w:rPr>
              <w:t>thresholds. This applies to:</w:t>
            </w:r>
          </w:p>
          <w:p w14:paraId="39C99B3E" w14:textId="77777777" w:rsidR="00F91551" w:rsidRDefault="00F91551" w:rsidP="00C33FDA">
            <w:pPr>
              <w:pStyle w:val="ListParagraph"/>
              <w:numPr>
                <w:ilvl w:val="0"/>
                <w:numId w:val="49"/>
              </w:numPr>
              <w:jc w:val="both"/>
              <w:rPr>
                <w:rFonts w:ascii="Calibri" w:hAnsi="Calibri" w:cs="Calibri"/>
                <w:lang w:val="en-ID"/>
              </w:rPr>
            </w:pPr>
            <w:r w:rsidRPr="00F91551">
              <w:rPr>
                <w:rFonts w:ascii="Calibri" w:hAnsi="Calibri" w:cs="Calibri"/>
                <w:lang w:val="en-ID"/>
              </w:rPr>
              <w:t xml:space="preserve">Energy providers (≥6,000 TOE/year) under Article </w:t>
            </w:r>
            <w:proofErr w:type="gramStart"/>
            <w:r w:rsidRPr="00F91551">
              <w:rPr>
                <w:rFonts w:ascii="Calibri" w:hAnsi="Calibri" w:cs="Calibri"/>
                <w:lang w:val="en-ID"/>
              </w:rPr>
              <w:t>29(1);</w:t>
            </w:r>
            <w:proofErr w:type="gramEnd"/>
          </w:p>
          <w:p w14:paraId="7FCCAA7F" w14:textId="77777777" w:rsidR="00F91551" w:rsidRDefault="00F91551" w:rsidP="00C33FDA">
            <w:pPr>
              <w:pStyle w:val="ListParagraph"/>
              <w:numPr>
                <w:ilvl w:val="0"/>
                <w:numId w:val="49"/>
              </w:numPr>
              <w:jc w:val="both"/>
              <w:rPr>
                <w:rFonts w:ascii="Calibri" w:hAnsi="Calibri" w:cs="Calibri"/>
                <w:lang w:val="en-ID"/>
              </w:rPr>
            </w:pPr>
            <w:r w:rsidRPr="00F91551">
              <w:rPr>
                <w:rFonts w:ascii="Calibri" w:hAnsi="Calibri" w:cs="Calibri"/>
                <w:lang w:val="en-ID"/>
              </w:rPr>
              <w:t xml:space="preserve">Users in the transport and industrial sectors (≥4,000 TOE/year) under Articles 31(1) and </w:t>
            </w:r>
            <w:proofErr w:type="gramStart"/>
            <w:r w:rsidRPr="00F91551">
              <w:rPr>
                <w:rFonts w:ascii="Calibri" w:hAnsi="Calibri" w:cs="Calibri"/>
                <w:lang w:val="en-ID"/>
              </w:rPr>
              <w:t>32(1);</w:t>
            </w:r>
            <w:proofErr w:type="gramEnd"/>
          </w:p>
          <w:p w14:paraId="12A9940D" w14:textId="692BE29E" w:rsidR="00F91551" w:rsidRDefault="00F91551" w:rsidP="00C33FDA">
            <w:pPr>
              <w:pStyle w:val="ListParagraph"/>
              <w:numPr>
                <w:ilvl w:val="0"/>
                <w:numId w:val="49"/>
              </w:numPr>
              <w:jc w:val="both"/>
              <w:rPr>
                <w:rFonts w:ascii="Calibri" w:hAnsi="Calibri" w:cs="Calibri"/>
                <w:lang w:val="en-ID"/>
              </w:rPr>
            </w:pPr>
            <w:r w:rsidRPr="00F91551">
              <w:rPr>
                <w:rFonts w:ascii="Calibri" w:hAnsi="Calibri" w:cs="Calibri"/>
                <w:lang w:val="en-ID"/>
              </w:rPr>
              <w:t>Users in building sector (≥500 TOE/year) under Article 34(1); and</w:t>
            </w:r>
          </w:p>
          <w:p w14:paraId="089BA419" w14:textId="2453678C" w:rsidR="00474855" w:rsidRPr="00F91551" w:rsidRDefault="00F91551" w:rsidP="00C33FDA">
            <w:pPr>
              <w:pStyle w:val="ListParagraph"/>
              <w:numPr>
                <w:ilvl w:val="0"/>
                <w:numId w:val="49"/>
              </w:numPr>
              <w:jc w:val="both"/>
              <w:rPr>
                <w:rFonts w:ascii="Calibri" w:hAnsi="Calibri" w:cs="Calibri"/>
                <w:lang w:val="en-ID"/>
              </w:rPr>
            </w:pPr>
            <w:r w:rsidRPr="00F91551">
              <w:rPr>
                <w:rFonts w:ascii="Calibri" w:hAnsi="Calibri" w:cs="Calibri"/>
                <w:lang w:val="en-ID"/>
              </w:rPr>
              <w:t>(Government institutions and regional authorities in their use of public infrastructure and facilities, under Articles 37–40.</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313D3592" w:rsidR="003618D4" w:rsidRPr="00C37D48" w:rsidRDefault="009A22CC"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08EC914C" w:rsidR="003618D4" w:rsidRPr="00C37D48" w:rsidRDefault="009A22CC"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143D00E7" w:rsidR="003618D4" w:rsidRPr="00C37D48" w:rsidRDefault="009A22CC"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3584FC0" w:rsidR="003618D4" w:rsidRPr="00C37D48" w:rsidRDefault="009A22CC"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6DF82435" w:rsidR="003618D4" w:rsidRPr="00C37D48" w:rsidRDefault="009A22C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6391EC94" w:rsidR="003618D4" w:rsidRPr="00C37D48" w:rsidRDefault="009A22CC"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36A42AB1" w:rsidR="005733AF" w:rsidRPr="009A22CC" w:rsidRDefault="009A22CC" w:rsidP="009A22CC">
            <w:pPr>
              <w:jc w:val="both"/>
              <w:rPr>
                <w:rFonts w:ascii="Calibri" w:hAnsi="Calibri" w:cs="Calibri"/>
              </w:rPr>
            </w:pPr>
            <w:r w:rsidRPr="009A22CC">
              <w:rPr>
                <w:rFonts w:ascii="Calibri" w:hAnsi="Calibri" w:cs="Calibri"/>
              </w:rPr>
              <w:t xml:space="preserve">The policy tool requires Key Performance Indicators (KPIs) through the monitoring and evaluation mechanism mandated in Articles 41 and 42. Article 42(4) explicitly states that the results of energy conservation implementation are used as performance indicators for institutional assessment, especially for </w:t>
            </w:r>
            <w:r>
              <w:rPr>
                <w:rFonts w:ascii="Calibri" w:hAnsi="Calibri" w:cs="Calibri"/>
              </w:rPr>
              <w:t>local governments and government agencies/departments</w:t>
            </w:r>
            <w:r w:rsidRPr="009A22CC">
              <w:rPr>
                <w:rFonts w:ascii="Calibri" w:hAnsi="Calibri" w:cs="Calibri"/>
              </w:rPr>
              <w:t xml:space="preserve">.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5C37A325"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2548281D" w:rsidR="00E7486E" w:rsidRPr="00C37D48" w:rsidRDefault="001B52C7"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3E206211" w14:textId="0BABF53F" w:rsidR="001B52C7" w:rsidRPr="001B52C7" w:rsidRDefault="001B52C7" w:rsidP="001B52C7">
            <w:pPr>
              <w:jc w:val="both"/>
              <w:rPr>
                <w:rFonts w:ascii="Calibri" w:hAnsi="Calibri" w:cs="Calibri"/>
                <w:lang w:val="en-ID"/>
              </w:rPr>
            </w:pPr>
            <w:r w:rsidRPr="001B52C7">
              <w:rPr>
                <w:rFonts w:ascii="Calibri" w:hAnsi="Calibri" w:cs="Calibri"/>
                <w:lang w:val="en-ID"/>
              </w:rPr>
              <w:t>Article 29(4) mandates annual reporting by energy providers (≥6,000 TOE/year) to the Minister</w:t>
            </w:r>
            <w:r>
              <w:rPr>
                <w:rFonts w:ascii="Calibri" w:hAnsi="Calibri" w:cs="Calibri"/>
                <w:lang w:val="en-ID"/>
              </w:rPr>
              <w:t xml:space="preserve"> of Energy and Mineral Resources (“Minister”)</w:t>
            </w:r>
            <w:r w:rsidRPr="001B52C7">
              <w:rPr>
                <w:rFonts w:ascii="Calibri" w:hAnsi="Calibri" w:cs="Calibri"/>
                <w:lang w:val="en-ID"/>
              </w:rPr>
              <w:t>.</w:t>
            </w:r>
            <w:r>
              <w:rPr>
                <w:rFonts w:ascii="Calibri" w:hAnsi="Calibri" w:cs="Calibri"/>
                <w:lang w:val="en-ID"/>
              </w:rPr>
              <w:t xml:space="preserve"> </w:t>
            </w:r>
            <w:r w:rsidRPr="001B52C7">
              <w:rPr>
                <w:rFonts w:ascii="Calibri" w:hAnsi="Calibri" w:cs="Calibri"/>
                <w:lang w:val="en-ID"/>
              </w:rPr>
              <w:t xml:space="preserve"> Articles 31(1), 32(1), and 34(1) impose the same annual reporting obligation on energy users in the transportation, industrial, and building sectors who exceed the specified thresholds. These reports reflect their progress in energy conservation efforts.</w:t>
            </w:r>
          </w:p>
          <w:p w14:paraId="0C49EF13" w14:textId="5D7AAEA3" w:rsidR="00E7486E" w:rsidRPr="001B52C7" w:rsidRDefault="001B52C7" w:rsidP="001B52C7">
            <w:pPr>
              <w:jc w:val="both"/>
              <w:rPr>
                <w:rFonts w:ascii="Calibri" w:hAnsi="Calibri" w:cs="Calibri"/>
                <w:lang w:val="en-ID"/>
              </w:rPr>
            </w:pPr>
            <w:r w:rsidRPr="001B52C7">
              <w:rPr>
                <w:rFonts w:ascii="Calibri" w:hAnsi="Calibri" w:cs="Calibri"/>
                <w:lang w:val="en-ID"/>
              </w:rPr>
              <w:t xml:space="preserve">For public sector bodies, Article 41 requires annual reporting by local governments and ministries, while Article 42 requires the </w:t>
            </w:r>
            <w:r>
              <w:rPr>
                <w:rFonts w:ascii="Calibri" w:hAnsi="Calibri" w:cs="Calibri"/>
                <w:lang w:val="en-ID"/>
              </w:rPr>
              <w:t>Minister</w:t>
            </w:r>
            <w:r w:rsidRPr="001B52C7">
              <w:rPr>
                <w:rFonts w:ascii="Calibri" w:hAnsi="Calibri" w:cs="Calibri"/>
                <w:lang w:val="en-ID"/>
              </w:rPr>
              <w:t xml:space="preserve"> to conduct formal monitoring and evaluation based on those reports.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3F11382B" w:rsidR="00671EA4" w:rsidRPr="00C37D48" w:rsidRDefault="001B52C7"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lastRenderedPageBreak/>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1D2F3A45" w:rsidR="00250F54" w:rsidRPr="00610F28" w:rsidRDefault="001B52C7" w:rsidP="001B52C7">
            <w:pPr>
              <w:jc w:val="both"/>
              <w:rPr>
                <w:rFonts w:ascii="Calibri" w:hAnsi="Calibri" w:cs="Calibri"/>
              </w:rPr>
            </w:pPr>
            <w:r w:rsidRPr="001B52C7">
              <w:rPr>
                <w:rFonts w:ascii="Calibri" w:hAnsi="Calibri" w:cs="Calibri"/>
              </w:rPr>
              <w:t xml:space="preserve">Although the policy tool does not reference internationally recognized standards such as TCFD, GRI, or SASB, it establishes </w:t>
            </w:r>
            <w:r w:rsidR="00C33FDA">
              <w:rPr>
                <w:rFonts w:ascii="Calibri" w:hAnsi="Calibri" w:cs="Calibri"/>
              </w:rPr>
              <w:t>a</w:t>
            </w:r>
            <w:r w:rsidRPr="001B52C7">
              <w:rPr>
                <w:rFonts w:ascii="Calibri" w:hAnsi="Calibri" w:cs="Calibri"/>
              </w:rPr>
              <w:t xml:space="preserve"> framework to support net-zero alignment through mandatory and programmatic measures. These include: (i) </w:t>
            </w:r>
            <w:proofErr w:type="spellStart"/>
            <w:r w:rsidRPr="001B52C7">
              <w:rPr>
                <w:rFonts w:ascii="Calibri" w:hAnsi="Calibri" w:cs="Calibri"/>
              </w:rPr>
              <w:t>Manajemen</w:t>
            </w:r>
            <w:proofErr w:type="spellEnd"/>
            <w:r w:rsidRPr="001B52C7">
              <w:rPr>
                <w:rFonts w:ascii="Calibri" w:hAnsi="Calibri" w:cs="Calibri"/>
              </w:rPr>
              <w:t xml:space="preserve"> Energi (Energy Management); (ii) energy performance standards and energy efficiency </w:t>
            </w:r>
            <w:proofErr w:type="spellStart"/>
            <w:r w:rsidRPr="001B52C7">
              <w:rPr>
                <w:rFonts w:ascii="Calibri" w:hAnsi="Calibri" w:cs="Calibri"/>
              </w:rPr>
              <w:t>labeling</w:t>
            </w:r>
            <w:proofErr w:type="spellEnd"/>
            <w:r w:rsidRPr="001B52C7">
              <w:rPr>
                <w:rFonts w:ascii="Calibri" w:hAnsi="Calibri" w:cs="Calibri"/>
              </w:rPr>
              <w:t>; (iii) financing instruments for energy conservation; (iv) support for Energy Service Companies (ESCOs); and (v) programs to raise awareness, enhance human resource capacity, foster innovation, and build cooperation in energy conservation. These mechanisms, while not internationally standardized frameworks, form a domestic regulatory ecosystem that contributes to the broader goals of emissions reduction and energy transition.</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302E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302E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302E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302E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D1BC96" w14:textId="77777777" w:rsidR="00163881" w:rsidRDefault="00163881" w:rsidP="00874E39">
      <w:r>
        <w:separator/>
      </w:r>
    </w:p>
  </w:endnote>
  <w:endnote w:type="continuationSeparator" w:id="0">
    <w:p w14:paraId="5BAC7368" w14:textId="77777777" w:rsidR="00163881" w:rsidRDefault="00163881" w:rsidP="00874E39">
      <w:r>
        <w:continuationSeparator/>
      </w:r>
    </w:p>
  </w:endnote>
  <w:endnote w:type="continuationNotice" w:id="1">
    <w:p w14:paraId="48B87B79" w14:textId="77777777" w:rsidR="00163881" w:rsidRDefault="001638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94A54E" w14:textId="77777777" w:rsidR="00163881" w:rsidRDefault="00163881" w:rsidP="00874E39">
      <w:r>
        <w:separator/>
      </w:r>
    </w:p>
  </w:footnote>
  <w:footnote w:type="continuationSeparator" w:id="0">
    <w:p w14:paraId="2521B869" w14:textId="77777777" w:rsidR="00163881" w:rsidRDefault="00163881" w:rsidP="00874E39">
      <w:r>
        <w:continuationSeparator/>
      </w:r>
    </w:p>
  </w:footnote>
  <w:footnote w:type="continuationNotice" w:id="1">
    <w:p w14:paraId="0332DA32" w14:textId="77777777" w:rsidR="00163881" w:rsidRDefault="0016388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06EFA"/>
    <w:multiLevelType w:val="hybridMultilevel"/>
    <w:tmpl w:val="8C2009D2"/>
    <w:lvl w:ilvl="0" w:tplc="69929666">
      <w:start w:val="1"/>
      <w:numFmt w:val="lowerRoman"/>
      <w:lvlText w:val="(%1)."/>
      <w:lvlJc w:val="righ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5F11E74"/>
    <w:multiLevelType w:val="hybridMultilevel"/>
    <w:tmpl w:val="F15AC49E"/>
    <w:lvl w:ilvl="0" w:tplc="69929666">
      <w:start w:val="1"/>
      <w:numFmt w:val="lowerRoman"/>
      <w:lvlText w:val="(%1)."/>
      <w:lvlJc w:val="righ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2"/>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7"/>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1"/>
  </w:num>
  <w:num w:numId="44" w16cid:durableId="1639914969">
    <w:abstractNumId w:val="6"/>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766314992">
    <w:abstractNumId w:val="0"/>
  </w:num>
  <w:num w:numId="50" w16cid:durableId="955330484">
    <w:abstractNumId w:val="1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1C8B"/>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6B22"/>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F73"/>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34"/>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881"/>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2C7"/>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32C"/>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5D5C"/>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6FB"/>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87A4A"/>
    <w:rsid w:val="0039010E"/>
    <w:rsid w:val="00390B82"/>
    <w:rsid w:val="00390EB0"/>
    <w:rsid w:val="0039223F"/>
    <w:rsid w:val="00392F82"/>
    <w:rsid w:val="0039353D"/>
    <w:rsid w:val="003937AD"/>
    <w:rsid w:val="00393BA9"/>
    <w:rsid w:val="0039625A"/>
    <w:rsid w:val="00396D6B"/>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D77E2"/>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9A8"/>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C81"/>
    <w:rsid w:val="005C327C"/>
    <w:rsid w:val="005C4420"/>
    <w:rsid w:val="005C5681"/>
    <w:rsid w:val="005C6A1D"/>
    <w:rsid w:val="005C765C"/>
    <w:rsid w:val="005C7DF6"/>
    <w:rsid w:val="005D02C9"/>
    <w:rsid w:val="005D55BE"/>
    <w:rsid w:val="005D7CD4"/>
    <w:rsid w:val="005E0296"/>
    <w:rsid w:val="005E164B"/>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085"/>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520"/>
    <w:rsid w:val="00662657"/>
    <w:rsid w:val="006636CE"/>
    <w:rsid w:val="00663D94"/>
    <w:rsid w:val="00664677"/>
    <w:rsid w:val="00666CB6"/>
    <w:rsid w:val="00671EA4"/>
    <w:rsid w:val="006736BC"/>
    <w:rsid w:val="006746D5"/>
    <w:rsid w:val="0067532A"/>
    <w:rsid w:val="00675752"/>
    <w:rsid w:val="006770B7"/>
    <w:rsid w:val="006801E4"/>
    <w:rsid w:val="00681B9B"/>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C23"/>
    <w:rsid w:val="008B4536"/>
    <w:rsid w:val="008B5114"/>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A1"/>
    <w:rsid w:val="009926EF"/>
    <w:rsid w:val="00993609"/>
    <w:rsid w:val="00994653"/>
    <w:rsid w:val="00994C5F"/>
    <w:rsid w:val="00994E6E"/>
    <w:rsid w:val="00996526"/>
    <w:rsid w:val="009967D9"/>
    <w:rsid w:val="00996A43"/>
    <w:rsid w:val="00996EFE"/>
    <w:rsid w:val="009A0851"/>
    <w:rsid w:val="009A1530"/>
    <w:rsid w:val="009A15B3"/>
    <w:rsid w:val="009A22CC"/>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AF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1BA"/>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2E8"/>
    <w:rsid w:val="00B310C1"/>
    <w:rsid w:val="00B32231"/>
    <w:rsid w:val="00B33CA5"/>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213"/>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505"/>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56D"/>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45F"/>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3FDA"/>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668"/>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20B"/>
    <w:rsid w:val="00C75536"/>
    <w:rsid w:val="00C758F8"/>
    <w:rsid w:val="00C76B74"/>
    <w:rsid w:val="00C81DE5"/>
    <w:rsid w:val="00C82860"/>
    <w:rsid w:val="00C837C9"/>
    <w:rsid w:val="00C8396C"/>
    <w:rsid w:val="00C84F1D"/>
    <w:rsid w:val="00C85DD9"/>
    <w:rsid w:val="00C85F5A"/>
    <w:rsid w:val="00C8618D"/>
    <w:rsid w:val="00C86ADF"/>
    <w:rsid w:val="00C86E83"/>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C60"/>
    <w:rsid w:val="00CF5D92"/>
    <w:rsid w:val="00D004AD"/>
    <w:rsid w:val="00D01B92"/>
    <w:rsid w:val="00D02935"/>
    <w:rsid w:val="00D02C80"/>
    <w:rsid w:val="00D02FA1"/>
    <w:rsid w:val="00D056E9"/>
    <w:rsid w:val="00D07A89"/>
    <w:rsid w:val="00D07FC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4F1"/>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F6B"/>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551"/>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1217649">
      <w:bodyDiv w:val="1"/>
      <w:marLeft w:val="0"/>
      <w:marRight w:val="0"/>
      <w:marTop w:val="0"/>
      <w:marBottom w:val="0"/>
      <w:divBdr>
        <w:top w:val="none" w:sz="0" w:space="0" w:color="auto"/>
        <w:left w:val="none" w:sz="0" w:space="0" w:color="auto"/>
        <w:bottom w:val="none" w:sz="0" w:space="0" w:color="auto"/>
        <w:right w:val="none" w:sz="0" w:space="0" w:color="auto"/>
      </w:divBdr>
    </w:div>
    <w:div w:id="26712798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3809646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224675">
      <w:bodyDiv w:val="1"/>
      <w:marLeft w:val="0"/>
      <w:marRight w:val="0"/>
      <w:marTop w:val="0"/>
      <w:marBottom w:val="0"/>
      <w:divBdr>
        <w:top w:val="none" w:sz="0" w:space="0" w:color="auto"/>
        <w:left w:val="none" w:sz="0" w:space="0" w:color="auto"/>
        <w:bottom w:val="none" w:sz="0" w:space="0" w:color="auto"/>
        <w:right w:val="none" w:sz="0" w:space="0" w:color="auto"/>
      </w:divBdr>
    </w:div>
    <w:div w:id="1128161047">
      <w:bodyDiv w:val="1"/>
      <w:marLeft w:val="0"/>
      <w:marRight w:val="0"/>
      <w:marTop w:val="0"/>
      <w:marBottom w:val="0"/>
      <w:divBdr>
        <w:top w:val="none" w:sz="0" w:space="0" w:color="auto"/>
        <w:left w:val="none" w:sz="0" w:space="0" w:color="auto"/>
        <w:bottom w:val="none" w:sz="0" w:space="0" w:color="auto"/>
        <w:right w:val="none" w:sz="0" w:space="0" w:color="auto"/>
      </w:divBdr>
    </w:div>
    <w:div w:id="1132166069">
      <w:bodyDiv w:val="1"/>
      <w:marLeft w:val="0"/>
      <w:marRight w:val="0"/>
      <w:marTop w:val="0"/>
      <w:marBottom w:val="0"/>
      <w:divBdr>
        <w:top w:val="none" w:sz="0" w:space="0" w:color="auto"/>
        <w:left w:val="none" w:sz="0" w:space="0" w:color="auto"/>
        <w:bottom w:val="none" w:sz="0" w:space="0" w:color="auto"/>
        <w:right w:val="none" w:sz="0" w:space="0" w:color="auto"/>
      </w:divBdr>
    </w:div>
    <w:div w:id="118182250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2203980">
      <w:bodyDiv w:val="1"/>
      <w:marLeft w:val="0"/>
      <w:marRight w:val="0"/>
      <w:marTop w:val="0"/>
      <w:marBottom w:val="0"/>
      <w:divBdr>
        <w:top w:val="none" w:sz="0" w:space="0" w:color="auto"/>
        <w:left w:val="none" w:sz="0" w:space="0" w:color="auto"/>
        <w:bottom w:val="none" w:sz="0" w:space="0" w:color="auto"/>
        <w:right w:val="none" w:sz="0" w:space="0" w:color="auto"/>
      </w:divBdr>
    </w:div>
    <w:div w:id="1471049310">
      <w:bodyDiv w:val="1"/>
      <w:marLeft w:val="0"/>
      <w:marRight w:val="0"/>
      <w:marTop w:val="0"/>
      <w:marBottom w:val="0"/>
      <w:divBdr>
        <w:top w:val="none" w:sz="0" w:space="0" w:color="auto"/>
        <w:left w:val="none" w:sz="0" w:space="0" w:color="auto"/>
        <w:bottom w:val="none" w:sz="0" w:space="0" w:color="auto"/>
        <w:right w:val="none" w:sz="0" w:space="0" w:color="auto"/>
      </w:divBdr>
    </w:div>
    <w:div w:id="1500120759">
      <w:bodyDiv w:val="1"/>
      <w:marLeft w:val="0"/>
      <w:marRight w:val="0"/>
      <w:marTop w:val="0"/>
      <w:marBottom w:val="0"/>
      <w:divBdr>
        <w:top w:val="none" w:sz="0" w:space="0" w:color="auto"/>
        <w:left w:val="none" w:sz="0" w:space="0" w:color="auto"/>
        <w:bottom w:val="none" w:sz="0" w:space="0" w:color="auto"/>
        <w:right w:val="none" w:sz="0" w:space="0" w:color="auto"/>
      </w:divBdr>
    </w:div>
    <w:div w:id="165040410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2885524">
      <w:bodyDiv w:val="1"/>
      <w:marLeft w:val="0"/>
      <w:marRight w:val="0"/>
      <w:marTop w:val="0"/>
      <w:marBottom w:val="0"/>
      <w:divBdr>
        <w:top w:val="none" w:sz="0" w:space="0" w:color="auto"/>
        <w:left w:val="none" w:sz="0" w:space="0" w:color="auto"/>
        <w:bottom w:val="none" w:sz="0" w:space="0" w:color="auto"/>
        <w:right w:val="none" w:sz="0" w:space="0" w:color="auto"/>
      </w:divBdr>
    </w:div>
    <w:div w:id="1839926509">
      <w:bodyDiv w:val="1"/>
      <w:marLeft w:val="0"/>
      <w:marRight w:val="0"/>
      <w:marTop w:val="0"/>
      <w:marBottom w:val="0"/>
      <w:divBdr>
        <w:top w:val="none" w:sz="0" w:space="0" w:color="auto"/>
        <w:left w:val="none" w:sz="0" w:space="0" w:color="auto"/>
        <w:bottom w:val="none" w:sz="0" w:space="0" w:color="auto"/>
        <w:right w:val="none" w:sz="0" w:space="0" w:color="auto"/>
      </w:divBdr>
    </w:div>
    <w:div w:id="204617010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2090147/https:/drive.esdm.go.id/wl/?id=lx66Lz63CnXJWv1TBarc9X28tZfgMZ6y"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090131/https:/peraturan.bpk.go.id/Download/308697/PP%20Nomor%2033%20Tahun%202023.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Pages>
  <Words>21784</Words>
  <Characters>130492</Characters>
  <Application>Microsoft Office Word</Application>
  <DocSecurity>0</DocSecurity>
  <Lines>8699</Lines>
  <Paragraphs>4758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7</cp:revision>
  <cp:lastPrinted>2025-03-21T00:14:00Z</cp:lastPrinted>
  <dcterms:created xsi:type="dcterms:W3CDTF">2025-06-30T07:26:00Z</dcterms:created>
  <dcterms:modified xsi:type="dcterms:W3CDTF">2025-07-06T06:05:00Z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22cf1f98-5b49-4204-b99f-e902d9939f63</vt:lpwstr>
  </property>
</Properties>
</file>